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0"/>
      </w:pPr>
    </w:p>
    <w:p>
      <w:pPr>
        <w:spacing w:before="200" w:after="40"/>
        <w:jc w:val="left"/>
      </w:pPr>
      <w:r>
        <w:rPr>
          <w:rFonts w:ascii="Arial" w:cs="Arial" w:eastAsia="Arial" w:hAnsi="Arial"/>
          <w:b/>
          <w:bCs/>
          <w:caps/>
          <w:color w:val="0F3460"/>
          <w:sz w:val="18"/>
          <w:szCs w:val="18"/>
        </w:rPr>
        <w:t xml:space="preserve">ANALISI</w:t>
      </w:r>
      <w:r>
        <w:rPr>
          <w:rFonts w:ascii="Arial" w:cs="Arial" w:eastAsia="Arial" w:hAnsi="Arial"/>
          <w:caps/>
          <w:color w:val="888888"/>
          <w:sz w:val="18"/>
          <w:szCs w:val="18"/>
        </w:rPr>
        <w:t xml:space="preserve">  |  CREDITI FISCALI EDILIZI</w:t>
      </w:r>
    </w:p>
    <w:p>
      <w:pPr>
        <w:spacing w:before="80" w:after="60"/>
      </w:pPr>
      <w:r>
        <w:rPr>
          <w:rFonts w:ascii="Arial" w:cs="Arial" w:eastAsia="Arial" w:hAnsi="Arial"/>
          <w:b/>
          <w:bCs/>
          <w:color w:val="1A1A2E"/>
          <w:sz w:val="40"/>
          <w:szCs w:val="40"/>
        </w:rPr>
        <w:t xml:space="preserve">Cessione dei crediti fiscali edilizi: il punto a febbraio 2026</w:t>
      </w:r>
    </w:p>
    <w:p>
      <w:pPr>
        <w:spacing w:before="40" w:after="40"/>
      </w:pPr>
      <w:r>
        <w:rPr>
          <w:rFonts w:ascii="Georgia" w:cs="Georgia" w:eastAsia="Georgia" w:hAnsi="Georgia"/>
          <w:i/>
          <w:iCs/>
          <w:color w:val="555555"/>
          <w:sz w:val="24"/>
          <w:szCs w:val="24"/>
        </w:rPr>
        <w:t xml:space="preserve">Superbonus, bonus ordinari, compensazioni e mercato secondario dopo la Legge di bilancio 2026 (L. 199/2025)</w:t>
      </w:r>
    </w:p>
    <w:p>
      <w:pPr>
        <w:pBdr>
          <w:bottom w:val="single" w:color="0F3460" w:sz="2" w:space="8"/>
        </w:pBdr>
        <w:spacing w:before="60" w:after="80"/>
      </w:pPr>
      <w:r>
        <w:rPr>
          <w:rFonts w:ascii="Arial" w:cs="Arial" w:eastAsia="Arial" w:hAnsi="Arial"/>
          <w:color w:val="888888"/>
          <w:sz w:val="18"/>
          <w:szCs w:val="18"/>
        </w:rPr>
        <w:t xml:space="preserve">Aggiornamento: 14 febbraio 2026</w:t>
      </w:r>
    </w:p>
    <w:p>
      <w:pPr>
        <w:spacing w:after="6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0F3460" w:sz="1"/>
              <w:left w:val="single" w:color="0F3460" w:sz="6"/>
              <w:bottom w:val="single" w:color="0F3460" w:sz="1"/>
              <w:right w:val="single" w:color="0F3460" w:sz="1"/>
            </w:tcBorders>
            <w:shd w:fill="F0F4F8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0F3460"/>
                <w:sz w:val="22"/>
                <w:szCs w:val="22"/>
              </w:rPr>
              <w:t xml:space="preserve">In sintesi</w:t>
            </w:r>
          </w:p>
          <w:p>
            <w:pPr>
              <w:spacing w:after="0" w:line="300"/>
            </w:pPr>
            <w:r>
              <w:rPr>
                <w:rFonts w:ascii="Georgia" w:cs="Georgia" w:eastAsia="Georgia" w:hAnsi="Georgia"/>
                <w:color w:val="333333"/>
                <w:sz w:val="22"/>
                <w:szCs w:val="22"/>
              </w:rPr>
              <w:t xml:space="preserve">Il quadro normativo dei crediti fiscali edilizi nel 2026 è definito dalla Legge di bilancio 2026 (L. 199/2025) e dal D.L. 95/2025 (Decreto Omnibus), convertito dalla L. 118/2025. Il Superbonus 110% sopravvive esclusivamente per i crateri sismici, con cessione del credito ancora attiva ma contingentata. I bonus ordinari proseguono con aliquote ridotte e senza possibilità di cessione per le nuove spese. La compensazione orizzontale con INPS e INAIL resta operativa dopo lo stralcio parlamentare del divieto inizialmente previsto. Il mercato secondario si consolida in una fase di maturità selettiva.</w:t>
            </w:r>
          </w:p>
        </w:tc>
      </w:tr>
    </w:tbl>
    <w:p>
      <w:pPr>
        <w:spacing w:after="200"/>
      </w:pPr>
    </w:p>
    <w:p>
      <w:pPr>
        <w:pBdr>
          <w:bottom w:val="single" w:color="0F3460" w:sz="3" w:space="8"/>
        </w:pBdr>
        <w:spacing w:before="400" w:after="200"/>
      </w:pPr>
      <w:r>
        <w:rPr>
          <w:rFonts w:ascii="Arial" w:cs="Arial" w:eastAsia="Arial" w:hAnsi="Arial"/>
          <w:b/>
          <w:bCs/>
          <w:color w:val="0F3460"/>
          <w:sz w:val="30"/>
          <w:szCs w:val="30"/>
        </w:rPr>
        <w:t xml:space="preserve">1. Il Superbonus 110%: ultima isola normativa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A febbraio 2026, il Superbonus 110% è formalmente in vigore, ma la sua operatività è circoscritta in modo talmente stringente da renderlo una misura residuale, destinata a esaurirsi entro l’anno in corso. La disciplina di riferimento è l’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art. 4, commi 2 e 3 del D.L. 95/2025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(Decreto Omnibus), convertito in legge dalla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L. 118/2025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, successivamente confermato dalla Legge di bilancio 2026 (L. 199/2025).</w:t>
      </w:r>
    </w:p>
    <w:p>
      <w:pPr>
        <w:spacing w:before="300" w:after="150"/>
      </w:pPr>
      <w:r>
        <w:rPr>
          <w:rFonts w:ascii="Arial" w:cs="Arial" w:eastAsia="Arial" w:hAnsi="Arial"/>
          <w:b/>
          <w:bCs/>
          <w:color w:val="16213E"/>
          <w:sz w:val="26"/>
          <w:szCs w:val="26"/>
        </w:rPr>
        <w:t xml:space="preserve">Chi può ancora utilizzarlo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L’agevolazione al 110% è riservata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esclusivamente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agli interventi effettuati nei comuni dei territori colpiti dagli eventi sismici nelle regioni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Abruzzo, Lazio, Marche e Umbria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, con riferimento a due distinti eventi: il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sisma del 6 aprile 2009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(L’Aquila e comuni limitrofi) e gli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eventi sismici a far data dal 24 agosto 2016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(Centro Italia). La condizione essenziale è che nei comuni interessati sia stato dichiarato lo stato di emergenza.</w:t>
      </w:r>
    </w:p>
    <w:p>
      <w:pPr>
        <w:spacing w:before="300" w:after="150"/>
      </w:pPr>
      <w:r>
        <w:rPr>
          <w:rFonts w:ascii="Arial" w:cs="Arial" w:eastAsia="Arial" w:hAnsi="Arial"/>
          <w:b/>
          <w:bCs/>
          <w:color w:val="16213E"/>
          <w:sz w:val="26"/>
          <w:szCs w:val="26"/>
        </w:rPr>
        <w:t xml:space="preserve">Condizioni operative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La proroga è vincolata a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criteri precisi e non derogabili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226"/>
      </w:tblGrid>
      <w:tr>
        <w:trPr>
          <w:tblHeader/>
        </w:trP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Requisito</w:t>
            </w:r>
          </w:p>
        </w:tc>
        <w:tc>
          <w:tcPr>
            <w:tcW w:type="dxa" w:w="62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Dettaglio</w:t>
            </w:r>
          </w:p>
        </w:tc>
      </w:tr>
      <w:t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Modalità di fruizione</w:t>
            </w:r>
          </w:p>
        </w:tc>
        <w:tc>
          <w:tcPr>
            <w:tcW w:type="dxa" w:w="62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Esclusivamente cessione del credito o sconto in fattura (art. 121, D.L. 34/2020)</w:t>
            </w:r>
          </w:p>
        </w:tc>
      </w:tr>
      <w:t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Procedimenti edilizi</w:t>
            </w:r>
          </w:p>
        </w:tc>
        <w:tc>
          <w:tcPr>
            <w:tcW w:type="dxa" w:w="62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Avviati a far data dal 30 marzo 2024 (data di entrata in vigore del D.L. 39/2024)</w:t>
            </w:r>
          </w:p>
        </w:tc>
      </w:tr>
      <w:t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Limite di spesa complessivo</w:t>
            </w:r>
          </w:p>
        </w:tc>
        <w:tc>
          <w:tcPr>
            <w:tcW w:type="dxa" w:w="62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400 milioni di euro per il 2026, stanziamento non incrementabile</w:t>
            </w:r>
          </w:p>
        </w:tc>
      </w:tr>
      <w:t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Spese ammesse</w:t>
            </w:r>
          </w:p>
        </w:tc>
        <w:tc>
          <w:tcPr>
            <w:tcW w:type="dxa" w:w="62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Solo spese sostenute nel corso del 2026</w:t>
            </w:r>
          </w:p>
        </w:tc>
      </w:tr>
      <w:t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Superbonus rafforzato</w:t>
            </w:r>
          </w:p>
        </w:tc>
        <w:tc>
          <w:tcPr>
            <w:tcW w:type="dxa" w:w="62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Escluso dalla proroga</w:t>
            </w:r>
          </w:p>
        </w:tc>
      </w:tr>
    </w:tbl>
    <w:p>
      <w:pPr>
        <w:spacing w:after="200"/>
      </w:pP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Il tetto di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400 milioni di euro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rappresenta un vincolo strutturale che rende la misura a esaurimento. Una volta raggiunta la capienza, non saranno possibili ulteriori cessioni o sconti in fattura, indipendentemente dal possesso di tutti gli altri requisiti. Si tratta, nella sostanza, dell’ultimo capitolo operativo del Superbonus 110%.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0F3460" w:sz="1"/>
              <w:left w:val="single" w:color="0F3460" w:sz="6"/>
              <w:bottom w:val="single" w:color="0F3460" w:sz="1"/>
              <w:right w:val="single" w:color="0F3460" w:sz="1"/>
            </w:tcBorders>
            <w:shd w:fill="F0F4F8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0F3460"/>
                <w:sz w:val="22"/>
                <w:szCs w:val="22"/>
              </w:rPr>
              <w:t xml:space="preserve">Attenzione: contributo integrativo per la ricostruzione</w:t>
            </w:r>
          </w:p>
          <w:p>
            <w:pPr>
              <w:spacing w:after="0" w:line="300"/>
            </w:pPr>
            <w:r>
              <w:rPr>
                <w:rFonts w:ascii="Georgia" w:cs="Georgia" w:eastAsia="Georgia" w:hAnsi="Georgia"/>
                <w:color w:val="333333"/>
                <w:sz w:val="22"/>
                <w:szCs w:val="22"/>
              </w:rPr>
              <w:t xml:space="preserve">La Legge di bilancio 2026 autorizza i Commissari straordinari a riconoscere un </w:t>
            </w:r>
            <w:r>
              <w:rPr>
                <w:rFonts w:ascii="Georgia" w:cs="Georgia" w:eastAsia="Georgia" w:hAnsi="Georgia"/>
                <w:b/>
                <w:bCs/>
                <w:color w:val="1A1A2E"/>
                <w:sz w:val="22"/>
                <w:szCs w:val="22"/>
              </w:rPr>
              <w:t xml:space="preserve">contributo integrativo</w:t>
            </w:r>
            <w:r>
              <w:rPr>
                <w:rFonts w:ascii="Georgia" w:cs="Georgia" w:eastAsia="Georgia" w:hAnsi="Georgia"/>
                <w:color w:val="333333"/>
                <w:sz w:val="22"/>
                <w:szCs w:val="22"/>
              </w:rPr>
              <w:t xml:space="preserve"> per coprire le spese eccedenti il contributo ordinario per la ricostruzione privata, relative a istanze presentate entro il 31/12/2024. Sono esclusi gli immobili con irregolarità urbanistiche, edilizie o paesaggistiche non sanate.</w:t>
            </w:r>
          </w:p>
        </w:tc>
      </w:tr>
    </w:tbl>
    <w:p>
      <w:pPr>
        <w:spacing w:after="240"/>
      </w:pPr>
    </w:p>
    <w:p>
      <w:pPr>
        <w:pBdr>
          <w:bottom w:val="single" w:color="0F3460" w:sz="3" w:space="8"/>
        </w:pBdr>
        <w:spacing w:before="400" w:after="200"/>
      </w:pPr>
      <w:r>
        <w:rPr>
          <w:rFonts w:ascii="Arial" w:cs="Arial" w:eastAsia="Arial" w:hAnsi="Arial"/>
          <w:b/>
          <w:bCs/>
          <w:color w:val="0F3460"/>
          <w:sz w:val="30"/>
          <w:szCs w:val="30"/>
        </w:rPr>
        <w:t xml:space="preserve">2. Cessione del credito e sconto in fattura: il blocco generale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Il meccanismo della cessione del credito e dello sconto in fattura, disciplinato dall’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art. 121 del D.L. 34/2020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(Decreto Rilancio), ha cessato la propria operatività generale al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31 dicembre 2025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. Le opzioni previste dalle lettere a) e b) del comma 1 non sono più esercitabili per le spese sostenute a partire dal 1° gennaio 2026, con l’unica eccezione dei crateri sismici sopra descritti.</w:t>
      </w:r>
    </w:p>
    <w:p>
      <w:pPr>
        <w:spacing w:before="300" w:after="150"/>
      </w:pPr>
      <w:r>
        <w:rPr>
          <w:rFonts w:ascii="Arial" w:cs="Arial" w:eastAsia="Arial" w:hAnsi="Arial"/>
          <w:b/>
          <w:bCs/>
          <w:color w:val="16213E"/>
          <w:sz w:val="26"/>
          <w:szCs w:val="26"/>
        </w:rPr>
        <w:t xml:space="preserve">Cronologia della chiusura progressiva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La chiusura non è stata improvvisa, ma frutto di tre interventi normativi successivi che hanno progressivamente ridotto il perimetro di applicazione: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200"/>
        <w:gridCol w:w="4826"/>
      </w:tblGrid>
      <w:tr>
        <w:trPr>
          <w:tblHeader/>
        </w:trP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Intervento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Norma</w:t>
            </w:r>
          </w:p>
        </w:tc>
        <w:tc>
          <w:tcPr>
            <w:tcW w:type="dxa" w:w="48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Effetto principale</w:t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Primo blocco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D.L. 11/2023</w:t>
            </w:r>
          </w:p>
        </w:tc>
        <w:tc>
          <w:tcPr>
            <w:tcW w:type="dxa" w:w="48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Divieto generale di cessione e sconto, con ampie deroghe transitorie</w:t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Secondo intervento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D.L. 212/2023</w:t>
            </w:r>
          </w:p>
        </w:tc>
        <w:tc>
          <w:tcPr>
            <w:tcW w:type="dxa" w:w="48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Restrizione ulteriore delle deroghe, disciplina SAL Superbonus</w:t>
            </w:r>
          </w:p>
        </w:tc>
      </w:tr>
      <w:tr>
        <w:tc>
          <w:tcPr>
            <w:tcW w:type="dxa" w:w="20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Blocco definitivo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D.L. 39/2024 (L. 67/2024)</w:t>
            </w:r>
          </w:p>
        </w:tc>
        <w:tc>
          <w:tcPr>
            <w:tcW w:type="dxa" w:w="48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Azzeramento quasi completo delle opzioni residue</w:t>
            </w:r>
          </w:p>
        </w:tc>
      </w:tr>
    </w:tbl>
    <w:p>
      <w:pPr>
        <w:spacing w:after="200"/>
      </w:pP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Per le imprese e i professionisti del settore edilizio, questo significa che qualunque intervento avviato nel 2026 al di fuori dei crateri sismici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non può beneficiare della cessione del credito né dello sconto in fattura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. Il committente potrà fruire della detrazione esclusivamente in sede di dichiarazione dei redditi, con le aliquote ridotte previste dalla normativa vigente.</w:t>
      </w:r>
    </w:p>
    <w:p>
      <w:pPr>
        <w:spacing w:before="300" w:after="150"/>
      </w:pPr>
      <w:r>
        <w:rPr>
          <w:rFonts w:ascii="Arial" w:cs="Arial" w:eastAsia="Arial" w:hAnsi="Arial"/>
          <w:b/>
          <w:bCs/>
          <w:color w:val="16213E"/>
          <w:sz w:val="26"/>
          <w:szCs w:val="26"/>
        </w:rPr>
        <w:t xml:space="preserve">I crediti già maturati restano cedibili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Un chiarimento fondamentale dell’Agenzia delle Entrate è che lo stop alla cessione del credito imposto dal D.L. 39/2024 riguarda i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beneficiari delle detrazioni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ma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non i cessionari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. I crediti già validamente acquisiti nel cassetto fiscale di banche, intermediari e altri soggetti restano pienamente cedibili sul mercato secondario. Questa distinzione è cruciale per comprendere le dinamiche del mercato attuale.</w:t>
      </w:r>
    </w:p>
    <w:p>
      <w:pPr>
        <w:pBdr>
          <w:bottom w:val="single" w:color="0F3460" w:sz="3" w:space="8"/>
        </w:pBdr>
        <w:spacing w:before="400" w:after="200"/>
      </w:pPr>
      <w:r>
        <w:rPr>
          <w:rFonts w:ascii="Arial" w:cs="Arial" w:eastAsia="Arial" w:hAnsi="Arial"/>
          <w:b/>
          <w:bCs/>
          <w:color w:val="0F3460"/>
          <w:sz w:val="30"/>
          <w:szCs w:val="30"/>
        </w:rPr>
        <w:t xml:space="preserve">3. Bonus edilizi ordinari: il regime a due velocità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La Legge di bilancio 2026 (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art. 1, comma 22, L. 199/2025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) proroga per tutto il 2026 il sistema dei bonus edilizi ordinari già in vigore nel 2025, confermando un’architettura a due livelli basata sulla destinazione dell’immobile.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2200"/>
        <w:gridCol w:w="2200"/>
        <w:gridCol w:w="2426"/>
      </w:tblGrid>
      <w:tr>
        <w:trPr>
          <w:tblHeader/>
        </w:trP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Bonus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Abitazione principale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Altri immobili</w:t>
            </w:r>
          </w:p>
        </w:tc>
        <w:tc>
          <w:tcPr>
            <w:tcW w:type="dxa" w:w="24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Detrazione massima</w:t>
            </w:r>
          </w:p>
        </w:tc>
      </w:tr>
      <w:t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Bonus ristrutturazioni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50%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36%</w:t>
            </w:r>
          </w:p>
        </w:tc>
        <w:tc>
          <w:tcPr>
            <w:tcW w:type="dxa" w:w="24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96.000 € per unità</w:t>
            </w:r>
          </w:p>
        </w:tc>
      </w:tr>
      <w:t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Ecobonus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50%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36%</w:t>
            </w:r>
          </w:p>
        </w:tc>
        <w:tc>
          <w:tcPr>
            <w:tcW w:type="dxa" w:w="24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Variabile per intervento</w:t>
            </w:r>
          </w:p>
        </w:tc>
      </w:tr>
      <w:t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Sismabonus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50%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36%</w:t>
            </w:r>
          </w:p>
        </w:tc>
        <w:tc>
          <w:tcPr>
            <w:tcW w:type="dxa" w:w="24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96.000 € per unità</w:t>
            </w:r>
          </w:p>
        </w:tc>
      </w:tr>
      <w:t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Bonus mobili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50% (confermato)</w:t>
            </w:r>
          </w:p>
        </w:tc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—</w:t>
            </w:r>
          </w:p>
        </w:tc>
        <w:tc>
          <w:tcPr>
            <w:tcW w:type="dxa" w:w="24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5.000 €</w:t>
            </w:r>
          </w:p>
        </w:tc>
      </w:tr>
    </w:tbl>
    <w:p>
      <w:pPr>
        <w:spacing w:after="200"/>
      </w:pPr>
    </w:p>
    <w:p>
      <w:pPr>
        <w:spacing w:before="300" w:after="150"/>
      </w:pPr>
      <w:r>
        <w:rPr>
          <w:rFonts w:ascii="Arial" w:cs="Arial" w:eastAsia="Arial" w:hAnsi="Arial"/>
          <w:b/>
          <w:bCs/>
          <w:color w:val="16213E"/>
          <w:sz w:val="26"/>
          <w:szCs w:val="26"/>
        </w:rPr>
        <w:t xml:space="preserve">Cosa cambia nel 2027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In assenza di ulteriori interventi legislativi, dal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1° gennaio 2027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le aliquote dei bonus ordinari scenderanno ulteriormente. Le previsioni normative vigenti indicano un’aliquota del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36% per l’abitazione principale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e del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30% per gli altri immobili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, con un tetto di spesa ridotto a 48.000 euro per unità immobiliare. La progressiva riduzione delle aliquote segna la transizione verso un regime ordinario post-incentivi, con effetti significativi sulla domanda di interventi edilizi.</w:t>
      </w:r>
    </w:p>
    <w:p>
      <w:pPr>
        <w:spacing w:before="300" w:after="150"/>
      </w:pPr>
      <w:r>
        <w:rPr>
          <w:rFonts w:ascii="Arial" w:cs="Arial" w:eastAsia="Arial" w:hAnsi="Arial"/>
          <w:b/>
          <w:bCs/>
          <w:color w:val="16213E"/>
          <w:sz w:val="26"/>
          <w:szCs w:val="26"/>
        </w:rPr>
        <w:t xml:space="preserve">Limitazioni per redditi elevati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Restano in vigore le limitazioni introdotte dalla Legge di bilancio 2025 (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art. 1, comma 10, L. 207/2024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): i contribuenti persone fisiche con reddito complessivo superiore a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75.000 euro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subiscono una parametrazione delle detrazioni in funzione del reddito percepito e del numero di figli nel nucleo familiare. Un vincolo che riduce ulteriormente l’attrattività degli incentivi per i contribuenti a reddito medio-alto.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0F3460" w:sz="1"/>
              <w:left w:val="single" w:color="0F3460" w:sz="6"/>
              <w:bottom w:val="single" w:color="0F3460" w:sz="1"/>
              <w:right w:val="single" w:color="0F3460" w:sz="1"/>
            </w:tcBorders>
            <w:shd w:fill="F0F4F8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0F3460"/>
                <w:sz w:val="22"/>
                <w:szCs w:val="22"/>
              </w:rPr>
              <w:t xml:space="preserve">Novità 2026: immobili condonati</w:t>
            </w:r>
          </w:p>
          <w:p>
            <w:pPr>
              <w:spacing w:after="0" w:line="300"/>
            </w:pPr>
            <w:r>
              <w:rPr>
                <w:rFonts w:ascii="Georgia" w:cs="Georgia" w:eastAsia="Georgia" w:hAnsi="Georgia"/>
                <w:color w:val="333333"/>
                <w:sz w:val="22"/>
                <w:szCs w:val="22"/>
              </w:rPr>
              <w:t xml:space="preserve">La Legge di bilancio 2026 prevede che gli </w:t>
            </w:r>
            <w:r>
              <w:rPr>
                <w:rFonts w:ascii="Georgia" w:cs="Georgia" w:eastAsia="Georgia" w:hAnsi="Georgia"/>
                <w:b/>
                <w:bCs/>
                <w:color w:val="1A1A2E"/>
                <w:sz w:val="22"/>
                <w:szCs w:val="22"/>
              </w:rPr>
              <w:t xml:space="preserve">immobili condonati</w:t>
            </w:r>
            <w:r>
              <w:rPr>
                <w:rFonts w:ascii="Georgia" w:cs="Georgia" w:eastAsia="Georgia" w:hAnsi="Georgia"/>
                <w:color w:val="333333"/>
                <w:sz w:val="22"/>
                <w:szCs w:val="22"/>
              </w:rPr>
              <w:t xml:space="preserve"> possano accedere ai bonus edilizi, a condizione che non si trovino in centri storici o aree soggette a vincoli di inedificabilità assoluta. La misura amplia la platea dei beneficiari ma richiede verifiche puntuali sulla regolarità urbanistica e catastale.</w:t>
            </w:r>
          </w:p>
        </w:tc>
      </w:tr>
    </w:tbl>
    <w:p>
      <w:pPr>
        <w:spacing w:after="240"/>
      </w:pPr>
    </w:p>
    <w:p>
      <w:pPr>
        <w:pBdr>
          <w:bottom w:val="single" w:color="0F3460" w:sz="3" w:space="8"/>
        </w:pBdr>
        <w:spacing w:before="400" w:after="200"/>
      </w:pPr>
      <w:r>
        <w:rPr>
          <w:rFonts w:ascii="Arial" w:cs="Arial" w:eastAsia="Arial" w:hAnsi="Arial"/>
          <w:b/>
          <w:bCs/>
          <w:color w:val="0F3460"/>
          <w:sz w:val="30"/>
          <w:szCs w:val="30"/>
        </w:rPr>
        <w:t xml:space="preserve">4. Compensazioni fiscali: il divieto INPS/INAIL non è scattato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Uno dei temi più dibattuti nell’iter della manovra 2026 è stato il tentativo di introdurre un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divieto generalizzato di compensazione orizzontale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tra crediti d’imposta agevolativi e debiti contributivi verso INPS e INAIL. La vicenda merita un approfondimento dettagliato, perché la situazione finale è sostanzialmente diversa da quanto inizialmente previsto.</w:t>
      </w:r>
    </w:p>
    <w:p>
      <w:pPr>
        <w:spacing w:before="300" w:after="150"/>
      </w:pPr>
      <w:r>
        <w:rPr>
          <w:rFonts w:ascii="Arial" w:cs="Arial" w:eastAsia="Arial" w:hAnsi="Arial"/>
          <w:b/>
          <w:bCs/>
          <w:color w:val="16213E"/>
          <w:sz w:val="26"/>
          <w:szCs w:val="26"/>
        </w:rPr>
        <w:t xml:space="preserve">Il testo originario: cosa prevedeva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L’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art. 26, comma 1, del DDL Bilancio 2026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prevedeva che, a decorrere dal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1° luglio 2026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, i crediti d’imposta diversi da quelli emergenti dalla liquidazione delle imposte non potessero essere utilizzati in compensazione per il pagamento dei contributi previdenziali INPS e dei premi assicurativi INAIL. Il divieto si sarebbe esteso anche ai crediti trasferiti a soggetti diversi dal titolare originario, colpendo direttamente i cessionari di crediti da bonus edilizi.</w:t>
      </w:r>
    </w:p>
    <w:p>
      <w:pPr>
        <w:spacing w:before="300" w:after="150"/>
      </w:pPr>
      <w:r>
        <w:rPr>
          <w:rFonts w:ascii="Arial" w:cs="Arial" w:eastAsia="Arial" w:hAnsi="Arial"/>
          <w:b/>
          <w:bCs/>
          <w:color w:val="16213E"/>
          <w:sz w:val="26"/>
          <w:szCs w:val="26"/>
        </w:rPr>
        <w:t xml:space="preserve">Lo stralcio parlamentare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A seguito delle forti pressioni delle associazioni di categoria — in particolare il Consiglio Nazionale degli Ingegneri (CNI) e il Consiglio Nazionale dei Dottori Commercialisti (CNDCEC) — e dell’impegno assunto dal Viceministro dell’Economia Maurizio Leo il 12 dicembre 2025, il Governo ha presentato un emendamento che ha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stralciato integralmente il comma 1 dell’art. 26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. L’emendamento è stato approvato prima dalla Commissione Bilancio del Senato e poi dall’Assemblea.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0F3460" w:sz="1"/>
              <w:left w:val="single" w:color="0F3460" w:sz="6"/>
              <w:bottom w:val="single" w:color="0F3460" w:sz="1"/>
              <w:right w:val="single" w:color="0F3460" w:sz="1"/>
            </w:tcBorders>
            <w:shd w:fill="F0F4F8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0F3460"/>
                <w:sz w:val="22"/>
                <w:szCs w:val="22"/>
              </w:rPr>
              <w:t xml:space="preserve">Situazione attuale a febbraio 2026</w:t>
            </w:r>
          </w:p>
          <w:p>
            <w:pPr>
              <w:spacing w:after="0" w:line="300"/>
            </w:pPr>
            <w:r>
              <w:rPr>
                <w:rFonts w:ascii="Georgia" w:cs="Georgia" w:eastAsia="Georgia" w:hAnsi="Georgia"/>
                <w:color w:val="333333"/>
                <w:sz w:val="22"/>
                <w:szCs w:val="22"/>
              </w:rPr>
              <w:t xml:space="preserve">Le imprese e i professionisti </w:t>
            </w:r>
            <w:r>
              <w:rPr>
                <w:rFonts w:ascii="Georgia" w:cs="Georgia" w:eastAsia="Georgia" w:hAnsi="Georgia"/>
                <w:b/>
                <w:bCs/>
                <w:color w:val="1A1A2E"/>
                <w:sz w:val="22"/>
                <w:szCs w:val="22"/>
              </w:rPr>
              <w:t xml:space="preserve">possono continuare</w:t>
            </w:r>
            <w:r>
              <w:rPr>
                <w:rFonts w:ascii="Georgia" w:cs="Georgia" w:eastAsia="Georgia" w:hAnsi="Georgia"/>
                <w:color w:val="333333"/>
                <w:sz w:val="22"/>
                <w:szCs w:val="22"/>
              </w:rPr>
              <w:t xml:space="preserve"> a compensare nel modello F24 i debiti verso INPS e INAIL utilizzando i crediti d’imposta agevolativi, compresi quelli derivanti dai bonus edilizi. Il temuto blocco non è scattato.</w:t>
            </w:r>
          </w:p>
        </w:tc>
      </w:tr>
    </w:tbl>
    <w:p>
      <w:pPr>
        <w:spacing w:after="200"/>
      </w:pPr>
    </w:p>
    <w:p>
      <w:pPr>
        <w:spacing w:before="300" w:after="150"/>
      </w:pPr>
      <w:r>
        <w:rPr>
          <w:rFonts w:ascii="Arial" w:cs="Arial" w:eastAsia="Arial" w:hAnsi="Arial"/>
          <w:b/>
          <w:bCs/>
          <w:color w:val="16213E"/>
          <w:sz w:val="26"/>
          <w:szCs w:val="26"/>
        </w:rPr>
        <w:t xml:space="preserve">La stretta sulle compensazioni che è passata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Se il divieto INPS/INAIL è caduto, la manovra ha comunque introdotto un inasprimento della disciplina della compensazione orizzontale. I punti chiave: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2913"/>
        <w:gridCol w:w="2913"/>
      </w:tblGrid>
      <w:tr>
        <w:trPr>
          <w:tblHeader/>
        </w:trPr>
        <w:tc>
          <w:tcPr>
            <w:tcW w:type="dxa" w:w="3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Misura</w:t>
            </w:r>
          </w:p>
        </w:tc>
        <w:tc>
          <w:tcPr>
            <w:tcW w:type="dxa" w:w="29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Prima</w:t>
            </w:r>
          </w:p>
        </w:tc>
        <w:tc>
          <w:tcPr>
            <w:tcW w:type="dxa" w:w="29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Dal 1° gennaio 2026</w:t>
            </w:r>
          </w:p>
        </w:tc>
      </w:tr>
      <w:tr>
        <w:tc>
          <w:tcPr>
            <w:tcW w:type="dxa" w:w="3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Soglia debiti scaduti per blocco compensazione</w:t>
            </w:r>
          </w:p>
        </w:tc>
        <w:tc>
          <w:tcPr>
            <w:tcW w:type="dxa" w:w="29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100.000 €</w:t>
            </w:r>
          </w:p>
        </w:tc>
        <w:tc>
          <w:tcPr>
            <w:tcW w:type="dxa" w:w="29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50.000 €</w:t>
            </w:r>
          </w:p>
        </w:tc>
      </w:tr>
      <w:tr>
        <w:tc>
          <w:tcPr>
            <w:tcW w:type="dxa" w:w="3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Compensazione crediti agevolativi con INPS/INAIL</w:t>
            </w:r>
          </w:p>
        </w:tc>
        <w:tc>
          <w:tcPr>
            <w:tcW w:type="dxa" w:w="29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Consentita</w:t>
            </w:r>
          </w:p>
        </w:tc>
        <w:tc>
          <w:tcPr>
            <w:tcW w:type="dxa" w:w="29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Consentita (stralcio del divieto)</w:t>
            </w:r>
          </w:p>
        </w:tc>
      </w:tr>
      <w:tr>
        <w:tc>
          <w:tcPr>
            <w:tcW w:type="dxa" w:w="3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b/>
                <w:bCs/>
                <w:color w:val="1A1A2E"/>
                <w:sz w:val="22"/>
                <w:szCs w:val="22"/>
              </w:rPr>
              <w:t xml:space="preserve">Banche e intermediari</w:t>
            </w:r>
            <w:r>
              <w:rPr>
                <w:rFonts w:ascii="Georgia" w:cs="Georgia" w:eastAsia="Georgia" w:hAnsi="Georgia"/>
                <w:color w:val="333333"/>
                <w:sz w:val="22"/>
                <w:szCs w:val="22"/>
              </w:rPr>
              <w:t xml:space="preserve">: compensazione bonus edilizi con INPS/INAIL</w:t>
            </w:r>
          </w:p>
        </w:tc>
        <w:tc>
          <w:tcPr>
            <w:tcW w:type="dxa" w:w="29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Vietata (dal 2025)</w:t>
            </w:r>
          </w:p>
        </w:tc>
        <w:tc>
          <w:tcPr>
            <w:tcW w:type="dxa" w:w="29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Resta vietata</w:t>
            </w:r>
          </w:p>
        </w:tc>
      </w:tr>
    </w:tbl>
    <w:p>
      <w:pPr>
        <w:spacing w:after="200"/>
      </w:pP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La riduzione della soglia da 100.000 a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50.000 euro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è particolarmente rilevante. Se un contribuente ha iscrizioni a ruolo per imposte erariali superiori a questa soglia e non ha in corso provvedimenti di sospensione,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non potrà effettuare alcuna compensazione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tramite modello F24, neppure utilizzando crediti da bonus edilizi. Questa misura attua la riforma 1.12 del PNRR ed è finalizzata a contrastare le compensazioni indebite di crediti inesistenti.</w:t>
      </w:r>
    </w:p>
    <w:p>
      <w:pPr>
        <w:pBdr>
          <w:bottom w:val="single" w:color="0F3460" w:sz="3" w:space="8"/>
        </w:pBdr>
        <w:spacing w:before="400" w:after="200"/>
      </w:pPr>
      <w:r>
        <w:rPr>
          <w:rFonts w:ascii="Arial" w:cs="Arial" w:eastAsia="Arial" w:hAnsi="Arial"/>
          <w:b/>
          <w:bCs/>
          <w:color w:val="0F3460"/>
          <w:sz w:val="30"/>
          <w:szCs w:val="30"/>
        </w:rPr>
        <w:t xml:space="preserve">5. Il mercato secondario: maturità e selettività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Il mercato secondario dei crediti fiscali edilizi, che vale complessivamente oltre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1.200 miliardi di euro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in termini di stock accumulato negli anni del Superbonus, attraversa una fase di maturità strutturale. L’incertezza normativa che aveva caratterizzato il 2023-2024 si è in larga parte dissipata: le regole sono ora chiare, e questo ha portato a una stabilizzazione dei prezzi e a una maggiore selettività degli acquirenti.</w:t>
      </w:r>
    </w:p>
    <w:p>
      <w:pPr>
        <w:spacing w:before="300" w:after="150"/>
      </w:pPr>
      <w:r>
        <w:rPr>
          <w:rFonts w:ascii="Arial" w:cs="Arial" w:eastAsia="Arial" w:hAnsi="Arial"/>
          <w:b/>
          <w:bCs/>
          <w:color w:val="16213E"/>
          <w:sz w:val="26"/>
          <w:szCs w:val="26"/>
        </w:rPr>
        <w:t xml:space="preserve">Le dinamiche dei prezzi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Le valutazioni di mercato oscillano in una forbice compresa tra l’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85% e il 92%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del valore nominale, in funzione di diversi parametri qualitativi che determinano il pricing di ciascuna operazione. La variabilità è significativa e dipende da fattori ben identificabili: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800"/>
        <w:gridCol w:w="5026"/>
      </w:tblGrid>
      <w:tr>
        <w:trPr>
          <w:tblHeader/>
        </w:trP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Fattore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Impatto sul prezzo</w:t>
            </w:r>
          </w:p>
        </w:tc>
        <w:tc>
          <w:tcPr>
            <w:tcW w:type="dxa" w:w="50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</w:t>
            </w:r>
          </w:p>
        </w:tc>
      </w:tr>
      <w:t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Annualità del credito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Elevato</w:t>
            </w:r>
          </w:p>
        </w:tc>
        <w:tc>
          <w:tcPr>
            <w:tcW w:type="dxa" w:w="50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I crediti 2026 valgono più dei 2029 per il minor tempo di immobilizzo</w:t>
            </w:r>
          </w:p>
        </w:tc>
      </w:tr>
      <w:t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Qualità documentale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Elevato</w:t>
            </w:r>
          </w:p>
        </w:tc>
        <w:tc>
          <w:tcPr>
            <w:tcW w:type="dxa" w:w="50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Coerenza tra cassetto fiscale, contabilità e asseverazioni</w:t>
            </w:r>
          </w:p>
        </w:tc>
      </w:tr>
      <w:t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Importo complessivo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Medio-alto</w:t>
            </w:r>
          </w:p>
        </w:tc>
        <w:tc>
          <w:tcPr>
            <w:tcW w:type="dxa" w:w="50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Operazioni sopra 500.000 € attraggono condizioni migliori</w:t>
            </w:r>
          </w:p>
        </w:tc>
      </w:tr>
      <w:t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Tipologia di bonus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Medio</w:t>
            </w:r>
          </w:p>
        </w:tc>
        <w:tc>
          <w:tcPr>
            <w:tcW w:type="dxa" w:w="50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Superbonus e Sismabonus più richiesti per la capienza fiscale</w:t>
            </w:r>
          </w:p>
        </w:tc>
      </w:tr>
      <w:t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Urgenza del cedente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Significativo</w:t>
            </w:r>
          </w:p>
        </w:tc>
        <w:tc>
          <w:tcPr>
            <w:tcW w:type="dxa" w:w="50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Chi cede per necessità accetta sconti maggiori</w:t>
            </w:r>
          </w:p>
        </w:tc>
      </w:tr>
      <w:t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Omogeneità annualità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Medio</w:t>
            </w:r>
          </w:p>
        </w:tc>
        <w:tc>
          <w:tcPr>
            <w:tcW w:type="dxa" w:w="50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Crediti ben distribuiti sono più negoziabili</w:t>
            </w:r>
          </w:p>
        </w:tc>
      </w:tr>
    </w:tbl>
    <w:p>
      <w:pPr>
        <w:spacing w:after="200"/>
      </w:pPr>
    </w:p>
    <w:p>
      <w:pPr>
        <w:spacing w:before="300" w:after="150"/>
      </w:pPr>
      <w:r>
        <w:rPr>
          <w:rFonts w:ascii="Arial" w:cs="Arial" w:eastAsia="Arial" w:hAnsi="Arial"/>
          <w:b/>
          <w:bCs/>
          <w:color w:val="16213E"/>
          <w:sz w:val="26"/>
          <w:szCs w:val="26"/>
        </w:rPr>
        <w:t xml:space="preserve">Chi compra oggi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Il canale bancario, che aveva dominato il mercato nella fase iniziale, ha progressivamente rallentato la propria operatività a causa della saturazione della capienza fiscale. Le banche restano attive, ma con criteri di selezione molto più stringenti e volumi ridotti. Nel frattempo, si sono affermati canali alternativi: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fondi di investimento specializzati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,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strutture corporate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con elevata capienza fiscale e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piattaforme di crowdlending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che aggregano la domanda di investitori qualificati. Questa diversificazione dell’offerta ha contribuito a mantenere la liquidità del mercato nonostante il minor protagonismo degli istituti bancari.</w:t>
      </w:r>
    </w:p>
    <w:p>
      <w:pPr>
        <w:spacing w:before="300" w:after="150"/>
      </w:pPr>
      <w:r>
        <w:rPr>
          <w:rFonts w:ascii="Arial" w:cs="Arial" w:eastAsia="Arial" w:hAnsi="Arial"/>
          <w:b/>
          <w:bCs/>
          <w:color w:val="16213E"/>
          <w:sz w:val="26"/>
          <w:szCs w:val="26"/>
        </w:rPr>
        <w:t xml:space="preserve">L’evoluzione strategica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Il 2026 segna un cambio di paradigma nell’approccio alla cessione: il credito fiscale non è più soltanto un asset da liquidare al miglior prezzo, ma uno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strumento di pianificazione finanziaria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da integrare nella strategia complessiva dell’impresa. Le imprese con crediti distribuiti sulle annualità 2026-2029 possono strutturare cessioni parziali, combinare liquidità immediata e compensazione diretta, o negoziare condizioni differenziate per tranche con profili di rischio diversi.</w:t>
      </w:r>
    </w:p>
    <w:p>
      <w:pPr>
        <w:pBdr>
          <w:bottom w:val="single" w:color="0F3460" w:sz="3" w:space="8"/>
        </w:pBdr>
        <w:spacing w:before="400" w:after="200"/>
      </w:pPr>
      <w:r>
        <w:rPr>
          <w:rFonts w:ascii="Arial" w:cs="Arial" w:eastAsia="Arial" w:hAnsi="Arial"/>
          <w:b/>
          <w:bCs/>
          <w:color w:val="0F3460"/>
          <w:sz w:val="30"/>
          <w:szCs w:val="30"/>
        </w:rPr>
        <w:t xml:space="preserve">6. Lo scenario per il settore delle costruzioni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Secondo le stime del CRESME, il comparto del recupero edilizio potrebbe registrare una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contrazione fino al 25%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rispetto ai picchi del quadriennio 2021-2024, trainato dai volumi straordinari generati dal Superbonus e dalla cessione del credito. Non si tratta di una crisi improvvisa, ma della chiusura di una fase eccezionale che aveva alterato gli equilibri tra domanda, offerta e capacità produttiva.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333333"/>
          <w:sz w:val="22"/>
          <w:szCs w:val="22"/>
        </w:rPr>
        <w:t xml:space="preserve">La fine degli incentivi nazionali di portata straordinaria non arresta tuttavia il processo di riqualificazione del patrimonio edilizio. La </w:t>
      </w:r>
      <w:r>
        <w:rPr>
          <w:rFonts w:ascii="Georgia" w:cs="Georgia" w:eastAsia="Georgia" w:hAnsi="Georgia"/>
          <w:b/>
          <w:bCs/>
          <w:color w:val="1A1A2E"/>
          <w:sz w:val="22"/>
          <w:szCs w:val="22"/>
        </w:rPr>
        <w:t xml:space="preserve">Direttiva EPBD</w:t>
      </w:r>
      <w:r>
        <w:rPr>
          <w:rFonts w:ascii="Georgia" w:cs="Georgia" w:eastAsia="Georgia" w:hAnsi="Georgia"/>
          <w:color w:val="333333"/>
          <w:sz w:val="22"/>
          <w:szCs w:val="22"/>
        </w:rPr>
        <w:t xml:space="preserve"> (Direttiva sulla prestazione energetica degli edifici, nota come “Case Green”) impone obiettivi stringenti di efficienza energetica entro il 2030 e il 2035, confermando che il fabbisogno di interventi sul costruito italiano resta strutturale. La sfida per il 2026 sarà trovare modelli finanziari e tecnologie costruttive capaci di sostenere gli interventi anche in assenza di sussidi straordinari.</w:t>
      </w:r>
    </w:p>
    <w:p>
      <w:pPr>
        <w:pBdr>
          <w:bottom w:val="single" w:color="0F3460" w:sz="3" w:space="8"/>
        </w:pBdr>
        <w:spacing w:before="400" w:after="200"/>
      </w:pPr>
      <w:r>
        <w:rPr>
          <w:rFonts w:ascii="Arial" w:cs="Arial" w:eastAsia="Arial" w:hAnsi="Arial"/>
          <w:b/>
          <w:bCs/>
          <w:color w:val="0F3460"/>
          <w:sz w:val="30"/>
          <w:szCs w:val="30"/>
        </w:rPr>
        <w:t xml:space="preserve">7. Quadro sinottico: cosa è operativo a febbraio 2026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3113"/>
        <w:gridCol w:w="3113"/>
      </w:tblGrid>
      <w:tr>
        <w:trPr>
          <w:tblHeader/>
        </w:trP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Ambito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Stato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0F34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Riferimento normativo</w:t>
            </w:r>
          </w:p>
        </w:tc>
      </w:tr>
      <w:t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Superbonus 110% (crateri sismici)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Operativo con cessione/sconto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D.L. 95/2025, L. 118/2025</w:t>
            </w:r>
          </w:p>
        </w:tc>
      </w:tr>
      <w:t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Superbonus 110% (resto d’Italia)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Cessato al 31/12/2025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Art. 119, D.L. 34/2020</w:t>
            </w:r>
          </w:p>
        </w:tc>
      </w:tr>
      <w:t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Cessione credito (nuove spese)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Bloccata (escluso crateri)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D.L. 39/2024, L. 67/2024</w:t>
            </w:r>
          </w:p>
        </w:tc>
      </w:tr>
      <w:t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Cessione crediti già nel cassetto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Operativa sul mercato secondario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Chiarimenti AdE</w:t>
            </w:r>
          </w:p>
        </w:tc>
      </w:tr>
      <w:t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Bonus ristrutturazioni prima casa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50% (fino a 96.000 €)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Art. 1, c. 22, L. 199/2025</w:t>
            </w:r>
          </w:p>
        </w:tc>
      </w:tr>
      <w:t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Bonus ristrutturazioni altri immobili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36% (fino a 96.000 €)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Art. 1, c. 22, L. 199/2025</w:t>
            </w:r>
          </w:p>
        </w:tc>
      </w:tr>
      <w:t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Ecobonus / Sismabonus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50% prima casa / 36% altri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Art. 1, c. 22, L. 199/2025</w:t>
            </w:r>
          </w:p>
        </w:tc>
      </w:tr>
      <w:t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Bonus mobili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50% (fino a 5.000 €)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Art. 1, c. 22, L. 199/2025</w:t>
            </w:r>
          </w:p>
        </w:tc>
      </w:tr>
      <w:t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Bonus barriere architettoniche 75%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Non prorogato oltre 31/12/2025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—</w:t>
            </w:r>
          </w:p>
        </w:tc>
      </w:tr>
      <w:t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Compensazione INPS/INAIL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Consentita (divieto stralciato)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L. 199/2025 (stralcio art. 26)</w:t>
            </w:r>
          </w:p>
        </w:tc>
      </w:tr>
      <w:tr>
        <w:tc>
          <w:tcPr>
            <w:tcW w:type="dxa" w:w="2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Soglia blocco compensazione F24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50.000 € (era 100.000)</w:t>
            </w:r>
          </w:p>
        </w:tc>
        <w:tc>
          <w:tcPr>
            <w:tcW w:type="dxa" w:w="3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7F9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0"/>
            </w:pPr>
            <w:r>
              <w:rPr>
                <w:rFonts w:ascii="Georgia" w:cs="Georgia" w:eastAsia="Georgia" w:hAnsi="Georgia"/>
                <w:color w:val="333333"/>
                <w:sz w:val="20"/>
                <w:szCs w:val="20"/>
              </w:rPr>
              <w:t xml:space="preserve">Art. 26, c. 2, L. 199/2025</w:t>
            </w:r>
          </w:p>
        </w:tc>
      </w:tr>
    </w:tbl>
    <w:p>
      <w:pPr>
        <w:spacing w:after="240"/>
      </w:pPr>
    </w:p>
    <w:p>
      <w:pPr>
        <w:pBdr>
          <w:top w:val="single" w:color="0F3460" w:sz="2" w:space="8"/>
        </w:pBdr>
        <w:spacing w:before="200" w:after="100"/>
      </w:pPr>
      <w:r>
        <w:rPr>
          <w:rFonts w:ascii="Arial" w:cs="Arial" w:eastAsia="Arial" w:hAnsi="Arial"/>
          <w:b/>
          <w:bCs/>
          <w:color w:val="0F3460"/>
          <w:sz w:val="20"/>
          <w:szCs w:val="20"/>
        </w:rPr>
        <w:t xml:space="preserve">Nota metodologica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color w:val="666666"/>
          <w:sz w:val="20"/>
          <w:szCs w:val="20"/>
        </w:rPr>
        <w:t xml:space="preserve">Questo articolo ha finalità informativa e divulgativa. Le informazioni riportate sono aggiornate al 14 febbraio 2026 e si basano sulla normativa pubblicata in Gazzetta Ufficiale, sui chiarimenti dell’Agenzia delle Entrate e sulle fonti istituzionali citate. Per decisioni specifiche relative alla cessione di crediti fiscali o alla fruizione di agevolazioni edilizie, è sempre consigliabile rivolgersi a professionisti qualificati che possano analizzare la situazione individuale.</w:t>
      </w:r>
    </w:p>
    <w:p>
      <w:pPr>
        <w:spacing w:after="160" w:line="320"/>
        <w:jc w:val="both"/>
      </w:pPr>
      <w:r>
        <w:rPr>
          <w:rFonts w:ascii="Georgia" w:cs="Georgia" w:eastAsia="Georgia" w:hAnsi="Georgia"/>
          <w:b/>
          <w:bCs/>
          <w:color w:val="666666"/>
          <w:sz w:val="20"/>
          <w:szCs w:val="20"/>
        </w:rPr>
        <w:t xml:space="preserve">Fonti principali: </w:t>
      </w:r>
      <w:r>
        <w:rPr>
          <w:rFonts w:ascii="Georgia" w:cs="Georgia" w:eastAsia="Georgia" w:hAnsi="Georgia"/>
          <w:color w:val="666666"/>
          <w:sz w:val="20"/>
          <w:szCs w:val="20"/>
        </w:rPr>
        <w:t xml:space="preserve">L. 199/2025 (Legge di bilancio 2026) • D.L. 95/2025, conv. L. 118/2025 (Decreto Omnibus) • D.L. 39/2024, conv. L. 67/2024 • D.L. 11/2023 • D.L. 34/2020 (Decreto Rilancio) • ANCE, webinar 4 febbraio 2026 • CNI, comunicato 23 dicembre 2025 • Bollettino di Legislazione Tecnica.</w:t>
      </w:r>
    </w:p>
    <w:sectPr>
      <w:headerReference w:type="default" r:id="rId6"/>
      <w:footerReference w:type="default" r:id="rId7"/>
      <w:pgSz w:w="11906" w:h="16838" w:orient="portrait"/>
      <w:pgMar w:top="1200" w:right="1440" w:bottom="120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CCCCC" w:sz="1" w:space="4"/>
      </w:pBdr>
      <w:spacing w:before="0"/>
      <w:jc w:val="center"/>
    </w:pPr>
    <w:r>
      <w:rPr>
        <w:rFonts w:ascii="Arial" w:cs="Arial" w:eastAsia="Arial" w:hAnsi="Arial"/>
        <w:color w:val="999999"/>
        <w:sz w:val="16"/>
        <w:szCs w:val="16"/>
      </w:rPr>
      <w:t xml:space="preserve">Pagina </w:t>
    </w:r>
    <w:r>
      <w:rPr>
        <w:rFonts w:ascii="Arial" w:cs="Arial" w:eastAsia="Arial" w:hAnsi="Arial"/>
        <w:color w:val="999999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CCCCCC" w:sz="1" w:space="4"/>
      </w:pBdr>
      <w:spacing w:after="0"/>
      <w:jc w:val="right"/>
    </w:pPr>
    <w:r>
      <w:rPr>
        <w:rFonts w:ascii="Arial" w:cs="Arial" w:eastAsia="Arial" w:hAnsi="Arial"/>
        <w:color w:val="999999"/>
        <w:sz w:val="16"/>
        <w:szCs w:val="16"/>
      </w:rPr>
      <w:t xml:space="preserve">Cessione crediti fiscali edilizi — Aggiornamento febbraio 2026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eorgia" w:cs="Georgia" w:eastAsia="Georgia" w:hAnsi="Georgia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2026-02-14T06:14:32.181Z</dcterms:created>
  <dcterms:modified xsi:type="dcterms:W3CDTF">2026-02-14T06:14:32.181Z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